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953F7" w14:textId="74164569" w:rsidR="00ED0EF4" w:rsidRPr="004862AC" w:rsidRDefault="00ED0EF4" w:rsidP="004862AC">
      <w:pPr>
        <w:shd w:val="clear" w:color="auto" w:fill="FFFFFF"/>
        <w:spacing w:after="300" w:line="240" w:lineRule="auto"/>
        <w:outlineLvl w:val="0"/>
        <w:rPr>
          <w:rFonts w:ascii="Noto Sans Adlam" w:eastAsia="Times New Roman" w:hAnsi="Noto Sans Adlam" w:cs="Noto Sans Adlam"/>
          <w:b/>
          <w:bCs/>
          <w:color w:val="3B3B3B"/>
          <w:kern w:val="36"/>
          <w:sz w:val="48"/>
          <w:szCs w:val="48"/>
        </w:rPr>
      </w:pPr>
      <w:bookmarkStart w:id="0" w:name="_GoBack"/>
      <w:bookmarkEnd w:id="0"/>
      <w:r w:rsidRPr="004862AC">
        <w:rPr>
          <w:rFonts w:ascii="Noto Sans Adlam" w:eastAsia="Times New Roman" w:hAnsi="Noto Sans Adlam" w:cs="Noto Sans Adlam"/>
          <w:b/>
          <w:bCs/>
          <w:color w:val="3B3B3B"/>
          <w:kern w:val="36"/>
          <w:sz w:val="48"/>
          <w:szCs w:val="48"/>
        </w:rPr>
        <w:t xml:space="preserve">Restricted Procedure: </w:t>
      </w:r>
      <w:r w:rsidR="004862AC" w:rsidRPr="004862AC">
        <w:rPr>
          <w:rFonts w:ascii="Noto Sans Adlam" w:eastAsia="Times New Roman" w:hAnsi="Noto Sans Adlam" w:cs="Noto Sans Adlam"/>
          <w:b/>
          <w:bCs/>
          <w:color w:val="3B3B3B"/>
          <w:kern w:val="36"/>
          <w:sz w:val="48"/>
          <w:szCs w:val="48"/>
        </w:rPr>
        <w:t>International Strategic Planning and Institutional Development Expert for Supporting the Enhancement of the High Anti-Corruption Court (HACC)</w:t>
      </w:r>
      <w:r w:rsidRPr="004862AC">
        <w:rPr>
          <w:rFonts w:ascii="Noto Sans Adlam" w:eastAsia="Times New Roman" w:hAnsi="Noto Sans Adlam" w:cs="Noto Sans Adlam"/>
          <w:b/>
          <w:bCs/>
          <w:color w:val="3B3B3B"/>
          <w:kern w:val="36"/>
          <w:sz w:val="48"/>
          <w:szCs w:val="48"/>
        </w:rPr>
        <w:t xml:space="preserve"> in Ukraine</w:t>
      </w:r>
    </w:p>
    <w:p w14:paraId="7AB6F5E1" w14:textId="58DD3B11" w:rsidR="00ED0EF4" w:rsidRPr="004862AC" w:rsidRDefault="00ED0EF4" w:rsidP="00ED0EF4">
      <w:pPr>
        <w:shd w:val="clear" w:color="auto" w:fill="FFFFFF"/>
        <w:spacing w:line="240" w:lineRule="auto"/>
        <w:rPr>
          <w:rFonts w:ascii="Noto Sans Adlam" w:eastAsia="Times New Roman" w:hAnsi="Noto Sans Adlam" w:cs="Noto Sans Adlam"/>
        </w:rPr>
      </w:pPr>
      <w:r w:rsidRPr="004862AC">
        <w:rPr>
          <w:rFonts w:ascii="Noto Sans Adlam" w:eastAsia="Times New Roman" w:hAnsi="Noto Sans Adlam" w:cs="Noto Sans Adlam"/>
        </w:rPr>
        <w:t xml:space="preserve">Deadline for applications: </w:t>
      </w:r>
      <w:r w:rsidR="00557787">
        <w:rPr>
          <w:rFonts w:ascii="Noto Sans Adlam" w:eastAsia="Times New Roman" w:hAnsi="Noto Sans Adlam" w:cs="Noto Sans Adlam"/>
        </w:rPr>
        <w:t>7</w:t>
      </w:r>
      <w:r w:rsidRPr="004862AC">
        <w:rPr>
          <w:rFonts w:ascii="Noto Sans Adlam" w:eastAsia="Times New Roman" w:hAnsi="Noto Sans Adlam" w:cs="Noto Sans Adlam"/>
        </w:rPr>
        <w:t xml:space="preserve"> </w:t>
      </w:r>
      <w:r w:rsidR="004862AC" w:rsidRPr="004862AC">
        <w:rPr>
          <w:rFonts w:ascii="Noto Sans Adlam" w:eastAsia="Times New Roman" w:hAnsi="Noto Sans Adlam" w:cs="Noto Sans Adlam"/>
        </w:rPr>
        <w:t>December</w:t>
      </w:r>
      <w:r w:rsidRPr="004862AC">
        <w:rPr>
          <w:rFonts w:ascii="Noto Sans Adlam" w:eastAsia="Times New Roman" w:hAnsi="Noto Sans Adlam" w:cs="Noto Sans Adlam"/>
        </w:rPr>
        <w:t xml:space="preserve"> 2020, at 1</w:t>
      </w:r>
      <w:r w:rsidR="00557787">
        <w:rPr>
          <w:rFonts w:ascii="Noto Sans Adlam" w:eastAsia="Times New Roman" w:hAnsi="Noto Sans Adlam" w:cs="Noto Sans Adlam"/>
        </w:rPr>
        <w:t>8</w:t>
      </w:r>
      <w:r w:rsidRPr="004862AC">
        <w:rPr>
          <w:rFonts w:ascii="Noto Sans Adlam" w:eastAsia="Times New Roman" w:hAnsi="Noto Sans Adlam" w:cs="Noto Sans Adlam"/>
        </w:rPr>
        <w:t>:00, Danish time</w:t>
      </w:r>
    </w:p>
    <w:p w14:paraId="7FC64E9B" w14:textId="77777777" w:rsidR="004862AC" w:rsidRPr="004862AC" w:rsidRDefault="00ED0EF4" w:rsidP="004862AC">
      <w:pPr>
        <w:pStyle w:val="Brdtekst"/>
        <w:spacing w:before="153" w:line="276" w:lineRule="auto"/>
        <w:ind w:right="156"/>
        <w:jc w:val="both"/>
        <w:rPr>
          <w:rFonts w:ascii="Noto Sans Adlam" w:hAnsi="Noto Sans Adlam" w:cs="Noto Sans Adlam"/>
          <w:color w:val="000000" w:themeColor="text1"/>
          <w:lang w:val="en-GB"/>
        </w:rPr>
      </w:pPr>
      <w:r w:rsidRPr="004862AC">
        <w:rPr>
          <w:rFonts w:ascii="Noto Sans Adlam" w:eastAsia="Times New Roman" w:hAnsi="Noto Sans Adlam" w:cs="Noto Sans Adlam"/>
          <w:b/>
          <w:bCs/>
          <w:color w:val="3B3B3B"/>
        </w:rPr>
        <w:t>Description:</w:t>
      </w:r>
      <w:r w:rsidRPr="004862AC">
        <w:rPr>
          <w:rFonts w:ascii="Noto Sans Adlam" w:eastAsia="Times New Roman" w:hAnsi="Noto Sans Adlam" w:cs="Noto Sans Adlam"/>
          <w:b/>
          <w:bCs/>
          <w:color w:val="3B3B3B"/>
        </w:rPr>
        <w:br/>
      </w:r>
      <w:r w:rsidR="004862AC" w:rsidRPr="004862AC">
        <w:rPr>
          <w:rStyle w:val="a"/>
          <w:rFonts w:ascii="Noto Sans Adlam" w:hAnsi="Noto Sans Adlam" w:cs="Noto Sans Adlam"/>
          <w:lang w:val="en-GB"/>
        </w:rPr>
        <w:t xml:space="preserve">The objective of recruitment of </w:t>
      </w:r>
      <w:r w:rsidR="004862AC" w:rsidRPr="004862AC">
        <w:rPr>
          <w:rStyle w:val="a"/>
          <w:rFonts w:ascii="Noto Sans Adlam" w:hAnsi="Noto Sans Adlam" w:cs="Noto Sans Adlam"/>
          <w:color w:val="000000" w:themeColor="text1"/>
          <w:lang w:val="en-GB"/>
        </w:rPr>
        <w:t xml:space="preserve">the International Strategic Planning and Institutional Development Expert for Supporting the Enhancement of the High Anti-Corruption Court (HACC) is to support the sustainable institutional development of HACC, including by the way of assisting </w:t>
      </w:r>
      <w:r w:rsidR="004862AC" w:rsidRPr="004862AC">
        <w:rPr>
          <w:rFonts w:ascii="Noto Sans Adlam" w:hAnsi="Noto Sans Adlam" w:cs="Noto Sans Adlam"/>
          <w:color w:val="000000" w:themeColor="text1"/>
          <w:lang w:val="en-GB"/>
        </w:rPr>
        <w:t xml:space="preserve">the full operationalization of the High Anti-Corruption Court, improving strategic planning process and related capacity of Court leadership (both chambers), support HACC in basing planning and management decisions on data which measures performance, assistance in introduction of well-functioning case management practices and  development of consistent jurisprudence of the Court as well as optimization of internal administrative processes and capacity development.  </w:t>
      </w:r>
    </w:p>
    <w:p w14:paraId="75C28844" w14:textId="77777777" w:rsidR="004862AC" w:rsidRPr="004862AC" w:rsidRDefault="004862AC" w:rsidP="004862AC">
      <w:pPr>
        <w:pStyle w:val="Brdtekst"/>
        <w:spacing w:before="153" w:line="276" w:lineRule="auto"/>
        <w:ind w:right="156"/>
        <w:jc w:val="both"/>
        <w:rPr>
          <w:rStyle w:val="a"/>
          <w:rFonts w:ascii="Noto Sans Adlam" w:hAnsi="Noto Sans Adlam" w:cs="Noto Sans Adlam"/>
          <w:color w:val="000000" w:themeColor="text1"/>
          <w:lang w:val="en-GB"/>
        </w:rPr>
      </w:pPr>
      <w:r w:rsidRPr="004862AC">
        <w:rPr>
          <w:rFonts w:ascii="Noto Sans Adlam" w:hAnsi="Noto Sans Adlam" w:cs="Noto Sans Adlam"/>
          <w:color w:val="000000" w:themeColor="text1"/>
          <w:lang w:val="en-GB"/>
        </w:rPr>
        <w:t>The expert shall</w:t>
      </w:r>
      <w:r w:rsidRPr="004862AC">
        <w:rPr>
          <w:rStyle w:val="a"/>
          <w:rFonts w:ascii="Noto Sans Adlam" w:hAnsi="Noto Sans Adlam" w:cs="Noto Sans Adlam"/>
          <w:color w:val="000000" w:themeColor="text1"/>
          <w:lang w:val="en-GB"/>
        </w:rPr>
        <w:t xml:space="preserve"> ensure that the support provided to the HACC in the framework of these Terms of Reference is strategically anchored, demand-driven, well-structured, managed and delivered following agreed timeline and is in line with international anti-corruption standards.</w:t>
      </w:r>
    </w:p>
    <w:p w14:paraId="42F29190" w14:textId="77777777" w:rsidR="004862AC" w:rsidRPr="004862AC" w:rsidRDefault="004862AC" w:rsidP="004862AC">
      <w:pPr>
        <w:pStyle w:val="Overskrift2"/>
        <w:spacing w:before="199"/>
        <w:rPr>
          <w:rFonts w:ascii="Noto Sans Adlam" w:hAnsi="Noto Sans Adlam" w:cs="Noto Sans Adlam"/>
          <w:b/>
          <w:color w:val="000000" w:themeColor="text1"/>
          <w:sz w:val="22"/>
          <w:szCs w:val="22"/>
          <w:lang w:val="en-GB"/>
        </w:rPr>
      </w:pPr>
      <w:r w:rsidRPr="004862AC">
        <w:rPr>
          <w:rFonts w:ascii="Noto Sans Adlam" w:hAnsi="Noto Sans Adlam" w:cs="Noto Sans Adlam"/>
          <w:color w:val="000000" w:themeColor="text1"/>
          <w:sz w:val="22"/>
          <w:szCs w:val="22"/>
          <w:lang w:val="en-GB"/>
        </w:rPr>
        <w:t>The outputs and deliverables include, but are not necessarily limited to the following:</w:t>
      </w:r>
    </w:p>
    <w:p w14:paraId="6EC71AB3" w14:textId="77777777" w:rsidR="004862AC" w:rsidRPr="004862AC" w:rsidRDefault="004862AC" w:rsidP="004862AC">
      <w:pPr>
        <w:pStyle w:val="Brdtekst"/>
        <w:spacing w:before="8"/>
        <w:rPr>
          <w:rFonts w:ascii="Noto Sans Adlam" w:hAnsi="Noto Sans Adlam" w:cs="Noto Sans Adlam"/>
          <w:b/>
          <w:color w:val="000000" w:themeColor="text1"/>
          <w:lang w:val="en-GB"/>
        </w:rPr>
      </w:pPr>
    </w:p>
    <w:p w14:paraId="6758399D" w14:textId="77777777" w:rsidR="004862AC" w:rsidRPr="004862AC" w:rsidRDefault="004862AC" w:rsidP="004862AC">
      <w:pPr>
        <w:numPr>
          <w:ilvl w:val="0"/>
          <w:numId w:val="1"/>
        </w:numPr>
        <w:tabs>
          <w:tab w:val="left" w:pos="368"/>
        </w:tabs>
        <w:spacing w:after="0" w:line="276" w:lineRule="auto"/>
        <w:jc w:val="both"/>
        <w:rPr>
          <w:rFonts w:ascii="Noto Sans Adlam" w:hAnsi="Noto Sans Adlam" w:cs="Noto Sans Adlam"/>
          <w:lang w:val="en-GB"/>
        </w:rPr>
      </w:pPr>
      <w:r w:rsidRPr="004862AC">
        <w:rPr>
          <w:rFonts w:ascii="Noto Sans Adlam" w:hAnsi="Noto Sans Adlam" w:cs="Noto Sans Adlam"/>
          <w:lang w:val="en-GB"/>
        </w:rPr>
        <w:t>Agreed indicative work plan for the consultancy work that would reflect commitments undertaken by the expert.</w:t>
      </w:r>
    </w:p>
    <w:p w14:paraId="3EA72E27" w14:textId="77777777" w:rsidR="004862AC" w:rsidRPr="004862AC" w:rsidRDefault="004862AC" w:rsidP="004862AC">
      <w:pPr>
        <w:pStyle w:val="Listeafsnit"/>
        <w:numPr>
          <w:ilvl w:val="0"/>
          <w:numId w:val="1"/>
        </w:numPr>
        <w:tabs>
          <w:tab w:val="left" w:pos="836"/>
          <w:tab w:val="left" w:pos="837"/>
        </w:tabs>
        <w:spacing w:line="276" w:lineRule="auto"/>
        <w:ind w:right="1100"/>
        <w:contextualSpacing w:val="0"/>
        <w:jc w:val="both"/>
        <w:rPr>
          <w:rFonts w:ascii="Noto Sans Adlam" w:hAnsi="Noto Sans Adlam" w:cs="Noto Sans Adlam"/>
          <w:color w:val="000000" w:themeColor="text1"/>
          <w:sz w:val="22"/>
          <w:szCs w:val="22"/>
          <w:lang w:val="en-GB"/>
        </w:rPr>
      </w:pPr>
      <w:r w:rsidRPr="004862AC">
        <w:rPr>
          <w:rFonts w:ascii="Noto Sans Adlam" w:hAnsi="Noto Sans Adlam" w:cs="Noto Sans Adlam"/>
          <w:color w:val="000000" w:themeColor="text1"/>
          <w:sz w:val="22"/>
          <w:szCs w:val="22"/>
          <w:lang w:val="en-GB"/>
        </w:rPr>
        <w:t>HACC judges and staff training needs assessment.</w:t>
      </w:r>
    </w:p>
    <w:p w14:paraId="2EA25A26" w14:textId="77777777" w:rsidR="004862AC" w:rsidRPr="004862AC" w:rsidRDefault="004862AC" w:rsidP="004862AC">
      <w:pPr>
        <w:pStyle w:val="Listeafsnit"/>
        <w:numPr>
          <w:ilvl w:val="0"/>
          <w:numId w:val="1"/>
        </w:numPr>
        <w:tabs>
          <w:tab w:val="left" w:pos="836"/>
          <w:tab w:val="left" w:pos="837"/>
        </w:tabs>
        <w:spacing w:line="276" w:lineRule="auto"/>
        <w:ind w:right="1100"/>
        <w:contextualSpacing w:val="0"/>
        <w:jc w:val="both"/>
        <w:rPr>
          <w:rFonts w:ascii="Noto Sans Adlam" w:hAnsi="Noto Sans Adlam" w:cs="Noto Sans Adlam"/>
          <w:color w:val="000000" w:themeColor="text1"/>
          <w:sz w:val="22"/>
          <w:szCs w:val="22"/>
          <w:lang w:val="en-GB"/>
        </w:rPr>
      </w:pPr>
      <w:r w:rsidRPr="004862AC">
        <w:rPr>
          <w:rFonts w:ascii="Noto Sans Adlam" w:hAnsi="Noto Sans Adlam" w:cs="Noto Sans Adlam"/>
          <w:color w:val="000000" w:themeColor="text1"/>
          <w:sz w:val="22"/>
          <w:szCs w:val="22"/>
          <w:lang w:val="en-GB"/>
        </w:rPr>
        <w:t>Training plans for HACC judges and staff.</w:t>
      </w:r>
    </w:p>
    <w:p w14:paraId="25691E53" w14:textId="77777777" w:rsidR="004862AC" w:rsidRPr="004862AC" w:rsidRDefault="004862AC" w:rsidP="004862AC">
      <w:pPr>
        <w:pStyle w:val="Listeafsnit"/>
        <w:numPr>
          <w:ilvl w:val="0"/>
          <w:numId w:val="1"/>
        </w:numPr>
        <w:tabs>
          <w:tab w:val="left" w:pos="836"/>
          <w:tab w:val="left" w:pos="837"/>
        </w:tabs>
        <w:spacing w:line="276" w:lineRule="auto"/>
        <w:ind w:right="89"/>
        <w:contextualSpacing w:val="0"/>
        <w:jc w:val="both"/>
        <w:rPr>
          <w:rFonts w:ascii="Noto Sans Adlam" w:hAnsi="Noto Sans Adlam" w:cs="Noto Sans Adlam"/>
          <w:color w:val="000000" w:themeColor="text1"/>
          <w:sz w:val="22"/>
          <w:szCs w:val="22"/>
          <w:lang w:val="en-GB"/>
        </w:rPr>
      </w:pPr>
      <w:r w:rsidRPr="004862AC">
        <w:rPr>
          <w:rFonts w:ascii="Noto Sans Adlam" w:hAnsi="Noto Sans Adlam" w:cs="Noto Sans Adlam"/>
          <w:color w:val="000000" w:themeColor="text1"/>
          <w:sz w:val="22"/>
          <w:szCs w:val="22"/>
          <w:lang w:val="en-GB"/>
        </w:rPr>
        <w:t>Updated strategic</w:t>
      </w:r>
      <w:r w:rsidRPr="004862AC">
        <w:rPr>
          <w:rFonts w:ascii="Noto Sans Adlam" w:hAnsi="Noto Sans Adlam" w:cs="Noto Sans Adlam"/>
          <w:color w:val="000000" w:themeColor="text1"/>
          <w:sz w:val="22"/>
          <w:szCs w:val="22"/>
          <w:shd w:val="clear" w:color="auto" w:fill="FFFFFF"/>
          <w:lang w:val="en-GB"/>
        </w:rPr>
        <w:t>, planning, and policy</w:t>
      </w:r>
      <w:r w:rsidRPr="004862AC">
        <w:rPr>
          <w:rFonts w:ascii="Noto Sans Adlam" w:hAnsi="Noto Sans Adlam" w:cs="Noto Sans Adlam"/>
          <w:color w:val="000000" w:themeColor="text1"/>
          <w:sz w:val="22"/>
          <w:szCs w:val="22"/>
          <w:lang w:val="en-GB"/>
        </w:rPr>
        <w:t xml:space="preserve"> documents.</w:t>
      </w:r>
    </w:p>
    <w:p w14:paraId="4CBD2AAC" w14:textId="77777777" w:rsidR="004862AC" w:rsidRPr="004862AC" w:rsidRDefault="004862AC" w:rsidP="004862AC">
      <w:pPr>
        <w:numPr>
          <w:ilvl w:val="0"/>
          <w:numId w:val="1"/>
        </w:numPr>
        <w:tabs>
          <w:tab w:val="left" w:pos="368"/>
        </w:tabs>
        <w:spacing w:after="0" w:line="276" w:lineRule="auto"/>
        <w:jc w:val="both"/>
        <w:rPr>
          <w:rFonts w:ascii="Noto Sans Adlam" w:hAnsi="Noto Sans Adlam" w:cs="Noto Sans Adlam"/>
          <w:lang w:val="en-GB"/>
        </w:rPr>
      </w:pPr>
      <w:r w:rsidRPr="004862AC">
        <w:rPr>
          <w:rFonts w:ascii="Noto Sans Adlam" w:hAnsi="Noto Sans Adlam" w:cs="Noto Sans Adlam"/>
          <w:lang w:val="en-GB"/>
        </w:rPr>
        <w:t>Strategic guidance of the leadership of the Court.</w:t>
      </w:r>
    </w:p>
    <w:p w14:paraId="101ADE21" w14:textId="77777777" w:rsidR="004862AC" w:rsidRPr="004862AC" w:rsidRDefault="004862AC" w:rsidP="004862AC">
      <w:pPr>
        <w:pStyle w:val="Listeafsnit"/>
        <w:numPr>
          <w:ilvl w:val="0"/>
          <w:numId w:val="1"/>
        </w:numPr>
        <w:tabs>
          <w:tab w:val="left" w:pos="836"/>
          <w:tab w:val="left" w:pos="837"/>
        </w:tabs>
        <w:spacing w:line="276" w:lineRule="auto"/>
        <w:ind w:right="89"/>
        <w:contextualSpacing w:val="0"/>
        <w:jc w:val="both"/>
        <w:rPr>
          <w:rFonts w:ascii="Noto Sans Adlam" w:hAnsi="Noto Sans Adlam" w:cs="Noto Sans Adlam"/>
          <w:color w:val="000000" w:themeColor="text1"/>
          <w:sz w:val="22"/>
          <w:szCs w:val="22"/>
          <w:lang w:val="en-GB"/>
        </w:rPr>
      </w:pPr>
      <w:r w:rsidRPr="004862AC">
        <w:rPr>
          <w:rFonts w:ascii="Noto Sans Adlam" w:hAnsi="Noto Sans Adlam" w:cs="Noto Sans Adlam"/>
          <w:color w:val="000000" w:themeColor="text1"/>
          <w:sz w:val="22"/>
          <w:szCs w:val="22"/>
          <w:lang w:val="en-GB"/>
        </w:rPr>
        <w:t>Developed curricula and training materials for specific capacity development activities.</w:t>
      </w:r>
    </w:p>
    <w:p w14:paraId="71C86310" w14:textId="77777777" w:rsidR="004862AC" w:rsidRPr="004862AC" w:rsidRDefault="004862AC" w:rsidP="004862AC">
      <w:pPr>
        <w:pStyle w:val="Listeafsnit"/>
        <w:numPr>
          <w:ilvl w:val="0"/>
          <w:numId w:val="1"/>
        </w:numPr>
        <w:tabs>
          <w:tab w:val="left" w:pos="836"/>
          <w:tab w:val="left" w:pos="837"/>
        </w:tabs>
        <w:spacing w:line="276" w:lineRule="auto"/>
        <w:ind w:right="89"/>
        <w:contextualSpacing w:val="0"/>
        <w:jc w:val="both"/>
        <w:rPr>
          <w:rFonts w:ascii="Noto Sans Adlam" w:hAnsi="Noto Sans Adlam" w:cs="Noto Sans Adlam"/>
          <w:color w:val="000000" w:themeColor="text1"/>
          <w:sz w:val="22"/>
          <w:szCs w:val="22"/>
          <w:lang w:val="en-GB"/>
        </w:rPr>
      </w:pPr>
      <w:r w:rsidRPr="004862AC">
        <w:rPr>
          <w:rFonts w:ascii="Noto Sans Adlam" w:hAnsi="Noto Sans Adlam" w:cs="Noto Sans Adlam"/>
          <w:color w:val="000000" w:themeColor="text1"/>
          <w:sz w:val="22"/>
          <w:szCs w:val="22"/>
          <w:lang w:val="en-GB"/>
        </w:rPr>
        <w:t>Assessment of administrative processes and structure of HACC.</w:t>
      </w:r>
    </w:p>
    <w:p w14:paraId="2F8D5D2A" w14:textId="77777777" w:rsidR="004862AC" w:rsidRPr="004862AC" w:rsidRDefault="004862AC" w:rsidP="004862AC">
      <w:pPr>
        <w:pStyle w:val="Listeafsnit"/>
        <w:numPr>
          <w:ilvl w:val="0"/>
          <w:numId w:val="1"/>
        </w:numPr>
        <w:tabs>
          <w:tab w:val="left" w:pos="836"/>
          <w:tab w:val="left" w:pos="837"/>
        </w:tabs>
        <w:spacing w:line="276" w:lineRule="auto"/>
        <w:ind w:right="89"/>
        <w:contextualSpacing w:val="0"/>
        <w:jc w:val="both"/>
        <w:rPr>
          <w:rFonts w:ascii="Noto Sans Adlam" w:hAnsi="Noto Sans Adlam" w:cs="Noto Sans Adlam"/>
          <w:color w:val="000000" w:themeColor="text1"/>
          <w:sz w:val="22"/>
          <w:szCs w:val="22"/>
          <w:lang w:val="en-GB"/>
        </w:rPr>
      </w:pPr>
      <w:r w:rsidRPr="004862AC">
        <w:rPr>
          <w:rFonts w:ascii="Noto Sans Adlam" w:hAnsi="Noto Sans Adlam" w:cs="Noto Sans Adlam"/>
          <w:color w:val="000000" w:themeColor="text1"/>
          <w:sz w:val="22"/>
          <w:szCs w:val="22"/>
          <w:lang w:val="en-GB"/>
        </w:rPr>
        <w:t>Delivery of internal regulatory framework documents on thematic areas for HACC.</w:t>
      </w:r>
    </w:p>
    <w:p w14:paraId="5D3BF3F1" w14:textId="77777777" w:rsidR="004862AC" w:rsidRPr="004862AC" w:rsidRDefault="004862AC" w:rsidP="004862AC">
      <w:pPr>
        <w:pStyle w:val="Listeafsnit"/>
        <w:numPr>
          <w:ilvl w:val="0"/>
          <w:numId w:val="1"/>
        </w:numPr>
        <w:tabs>
          <w:tab w:val="left" w:pos="836"/>
          <w:tab w:val="left" w:pos="837"/>
        </w:tabs>
        <w:spacing w:line="276" w:lineRule="auto"/>
        <w:ind w:right="89"/>
        <w:contextualSpacing w:val="0"/>
        <w:jc w:val="both"/>
        <w:rPr>
          <w:rFonts w:ascii="Noto Sans Adlam" w:hAnsi="Noto Sans Adlam" w:cs="Noto Sans Adlam"/>
          <w:color w:val="000000" w:themeColor="text1"/>
          <w:sz w:val="22"/>
          <w:szCs w:val="22"/>
          <w:lang w:val="en-GB"/>
        </w:rPr>
      </w:pPr>
      <w:r w:rsidRPr="004862AC">
        <w:rPr>
          <w:rFonts w:ascii="Noto Sans Adlam" w:hAnsi="Noto Sans Adlam" w:cs="Noto Sans Adlam"/>
          <w:color w:val="000000" w:themeColor="text1"/>
          <w:sz w:val="22"/>
          <w:szCs w:val="22"/>
          <w:lang w:val="en-GB"/>
        </w:rPr>
        <w:t>Desk research/legal assessments and opinions.</w:t>
      </w:r>
    </w:p>
    <w:p w14:paraId="600A3CAA" w14:textId="77777777" w:rsidR="004862AC" w:rsidRPr="004862AC" w:rsidRDefault="004862AC" w:rsidP="004862AC">
      <w:pPr>
        <w:pStyle w:val="Listeafsnit"/>
        <w:numPr>
          <w:ilvl w:val="0"/>
          <w:numId w:val="1"/>
        </w:numPr>
        <w:tabs>
          <w:tab w:val="left" w:pos="836"/>
          <w:tab w:val="left" w:pos="837"/>
        </w:tabs>
        <w:spacing w:line="276" w:lineRule="auto"/>
        <w:ind w:right="-53"/>
        <w:contextualSpacing w:val="0"/>
        <w:jc w:val="both"/>
        <w:rPr>
          <w:rFonts w:ascii="Noto Sans Adlam" w:hAnsi="Noto Sans Adlam" w:cs="Noto Sans Adlam"/>
          <w:color w:val="000000" w:themeColor="text1"/>
          <w:sz w:val="22"/>
          <w:szCs w:val="22"/>
          <w:lang w:val="en-GB"/>
        </w:rPr>
      </w:pPr>
      <w:r w:rsidRPr="004862AC">
        <w:rPr>
          <w:rFonts w:ascii="Noto Sans Adlam" w:hAnsi="Noto Sans Adlam" w:cs="Noto Sans Adlam"/>
          <w:color w:val="000000" w:themeColor="text1"/>
          <w:sz w:val="22"/>
          <w:szCs w:val="22"/>
          <w:lang w:val="en-GB"/>
        </w:rPr>
        <w:lastRenderedPageBreak/>
        <w:t>Report on ways to enhance and develop strategic partnership with criminal justice institutions from EU member states, anti-corruption networks and experts, criminal courts and IOs and facilitate its implementation.</w:t>
      </w:r>
    </w:p>
    <w:p w14:paraId="03C636FA" w14:textId="77777777" w:rsidR="004862AC" w:rsidRPr="004862AC" w:rsidRDefault="004862AC" w:rsidP="004862AC">
      <w:pPr>
        <w:pStyle w:val="Listeafsnit"/>
        <w:numPr>
          <w:ilvl w:val="0"/>
          <w:numId w:val="1"/>
        </w:numPr>
        <w:tabs>
          <w:tab w:val="left" w:pos="836"/>
          <w:tab w:val="left" w:pos="837"/>
        </w:tabs>
        <w:spacing w:line="276" w:lineRule="auto"/>
        <w:ind w:right="-53"/>
        <w:contextualSpacing w:val="0"/>
        <w:jc w:val="both"/>
        <w:rPr>
          <w:rFonts w:ascii="Noto Sans Adlam" w:hAnsi="Noto Sans Adlam" w:cs="Noto Sans Adlam"/>
          <w:color w:val="000000" w:themeColor="text1"/>
          <w:sz w:val="22"/>
          <w:szCs w:val="22"/>
          <w:lang w:val="en-GB"/>
        </w:rPr>
      </w:pPr>
      <w:r w:rsidRPr="004862AC">
        <w:rPr>
          <w:rFonts w:ascii="Noto Sans Adlam" w:hAnsi="Noto Sans Adlam" w:cs="Noto Sans Adlam"/>
          <w:color w:val="000000" w:themeColor="text1"/>
          <w:sz w:val="22"/>
          <w:szCs w:val="22"/>
          <w:lang w:val="en-GB"/>
        </w:rPr>
        <w:t>Concept note on internship program for young professionals.</w:t>
      </w:r>
    </w:p>
    <w:p w14:paraId="6637D9E7" w14:textId="77777777" w:rsidR="004862AC" w:rsidRPr="004862AC" w:rsidRDefault="004862AC" w:rsidP="004862AC">
      <w:pPr>
        <w:pStyle w:val="Listeafsnit"/>
        <w:numPr>
          <w:ilvl w:val="0"/>
          <w:numId w:val="1"/>
        </w:numPr>
        <w:tabs>
          <w:tab w:val="left" w:pos="836"/>
          <w:tab w:val="left" w:pos="837"/>
        </w:tabs>
        <w:spacing w:line="276" w:lineRule="auto"/>
        <w:ind w:right="-53"/>
        <w:contextualSpacing w:val="0"/>
        <w:jc w:val="both"/>
        <w:rPr>
          <w:rFonts w:ascii="Noto Sans Adlam" w:hAnsi="Noto Sans Adlam" w:cs="Noto Sans Adlam"/>
          <w:color w:val="000000" w:themeColor="text1"/>
          <w:sz w:val="22"/>
          <w:szCs w:val="22"/>
          <w:lang w:val="en-GB"/>
        </w:rPr>
      </w:pPr>
      <w:r w:rsidRPr="004862AC">
        <w:rPr>
          <w:rFonts w:ascii="Noto Sans Adlam" w:hAnsi="Noto Sans Adlam" w:cs="Noto Sans Adlam"/>
          <w:color w:val="000000" w:themeColor="text1"/>
          <w:sz w:val="22"/>
          <w:szCs w:val="22"/>
          <w:lang w:val="en-GB"/>
        </w:rPr>
        <w:t xml:space="preserve">Meetings with the HACC leadership and judges, HACC </w:t>
      </w:r>
      <w:proofErr w:type="spellStart"/>
      <w:r w:rsidRPr="004862AC">
        <w:rPr>
          <w:rFonts w:ascii="Noto Sans Adlam" w:hAnsi="Noto Sans Adlam" w:cs="Noto Sans Adlam"/>
          <w:color w:val="000000" w:themeColor="text1"/>
          <w:sz w:val="22"/>
          <w:szCs w:val="22"/>
          <w:lang w:val="en-GB"/>
        </w:rPr>
        <w:t>CoS</w:t>
      </w:r>
      <w:proofErr w:type="spellEnd"/>
      <w:r w:rsidRPr="004862AC">
        <w:rPr>
          <w:rFonts w:ascii="Noto Sans Adlam" w:hAnsi="Noto Sans Adlam" w:cs="Noto Sans Adlam"/>
          <w:color w:val="000000" w:themeColor="text1"/>
          <w:sz w:val="22"/>
          <w:szCs w:val="22"/>
          <w:lang w:val="en-GB"/>
        </w:rPr>
        <w:t xml:space="preserve"> and staff, SJA leadership.</w:t>
      </w:r>
    </w:p>
    <w:p w14:paraId="07AF5EE5" w14:textId="77777777" w:rsidR="004862AC" w:rsidRPr="004862AC" w:rsidRDefault="004862AC" w:rsidP="004862AC">
      <w:pPr>
        <w:pStyle w:val="Listeafsnit"/>
        <w:numPr>
          <w:ilvl w:val="0"/>
          <w:numId w:val="1"/>
        </w:numPr>
        <w:tabs>
          <w:tab w:val="left" w:pos="836"/>
          <w:tab w:val="left" w:pos="837"/>
        </w:tabs>
        <w:spacing w:line="276" w:lineRule="auto"/>
        <w:ind w:right="-53"/>
        <w:contextualSpacing w:val="0"/>
        <w:jc w:val="both"/>
        <w:rPr>
          <w:rFonts w:ascii="Noto Sans Adlam" w:hAnsi="Noto Sans Adlam" w:cs="Noto Sans Adlam"/>
          <w:color w:val="000000" w:themeColor="text1"/>
          <w:sz w:val="22"/>
          <w:szCs w:val="22"/>
          <w:lang w:val="en-GB"/>
        </w:rPr>
      </w:pPr>
      <w:r w:rsidRPr="004862AC">
        <w:rPr>
          <w:rFonts w:ascii="Noto Sans Adlam" w:hAnsi="Noto Sans Adlam" w:cs="Noto Sans Adlam"/>
          <w:color w:val="000000" w:themeColor="text1"/>
          <w:sz w:val="22"/>
          <w:szCs w:val="22"/>
          <w:lang w:val="en-GB"/>
        </w:rPr>
        <w:t>Presentations and related documents on the implementation of above-mentioned activities.</w:t>
      </w:r>
    </w:p>
    <w:p w14:paraId="53026CDD" w14:textId="77777777" w:rsidR="00CA20F8" w:rsidRPr="00CA20F8" w:rsidRDefault="004862AC" w:rsidP="00CA20F8">
      <w:pPr>
        <w:pStyle w:val="Listeafsnit"/>
        <w:numPr>
          <w:ilvl w:val="0"/>
          <w:numId w:val="1"/>
        </w:numPr>
        <w:tabs>
          <w:tab w:val="left" w:pos="836"/>
          <w:tab w:val="left" w:pos="837"/>
        </w:tabs>
        <w:spacing w:line="276" w:lineRule="auto"/>
        <w:ind w:right="-53"/>
        <w:contextualSpacing w:val="0"/>
        <w:jc w:val="both"/>
        <w:rPr>
          <w:rFonts w:ascii="Noto Sans Adlam" w:hAnsi="Noto Sans Adlam" w:cs="Noto Sans Adlam"/>
          <w:color w:val="000000" w:themeColor="text1"/>
          <w:sz w:val="22"/>
          <w:szCs w:val="22"/>
          <w:lang w:val="en-GB"/>
        </w:rPr>
      </w:pPr>
      <w:r w:rsidRPr="00CA20F8">
        <w:rPr>
          <w:rFonts w:ascii="Noto Sans Adlam" w:hAnsi="Noto Sans Adlam" w:cs="Noto Sans Adlam"/>
          <w:color w:val="000000" w:themeColor="text1"/>
          <w:sz w:val="22"/>
          <w:szCs w:val="22"/>
          <w:lang w:val="en-GB"/>
        </w:rPr>
        <w:t>Delivery of other thematic documents if required.</w:t>
      </w:r>
    </w:p>
    <w:p w14:paraId="1DEFC9EC" w14:textId="594CA6A2" w:rsidR="00CA20F8" w:rsidRPr="00CA20F8" w:rsidRDefault="004862AC" w:rsidP="00CA20F8">
      <w:pPr>
        <w:pStyle w:val="Listeafsnit"/>
        <w:numPr>
          <w:ilvl w:val="0"/>
          <w:numId w:val="1"/>
        </w:numPr>
        <w:tabs>
          <w:tab w:val="left" w:pos="836"/>
          <w:tab w:val="left" w:pos="837"/>
        </w:tabs>
        <w:spacing w:line="276" w:lineRule="auto"/>
        <w:ind w:right="-53"/>
        <w:contextualSpacing w:val="0"/>
        <w:jc w:val="both"/>
        <w:rPr>
          <w:rFonts w:ascii="Noto Sans Adlam" w:hAnsi="Noto Sans Adlam" w:cs="Noto Sans Adlam"/>
          <w:color w:val="000000" w:themeColor="text1"/>
          <w:sz w:val="22"/>
          <w:szCs w:val="22"/>
          <w:lang w:val="en-GB"/>
        </w:rPr>
      </w:pPr>
      <w:r w:rsidRPr="00CA20F8">
        <w:rPr>
          <w:rFonts w:ascii="Noto Sans Adlam" w:hAnsi="Noto Sans Adlam" w:cs="Noto Sans Adlam"/>
          <w:color w:val="000000" w:themeColor="text1"/>
          <w:sz w:val="22"/>
          <w:szCs w:val="22"/>
          <w:lang w:val="en-GB"/>
        </w:rPr>
        <w:t xml:space="preserve">Mission report, including performance status and future recommendations (up to </w:t>
      </w:r>
      <w:proofErr w:type="gramStart"/>
      <w:r w:rsidRPr="00CA20F8">
        <w:rPr>
          <w:rFonts w:ascii="Noto Sans Adlam" w:hAnsi="Noto Sans Adlam" w:cs="Noto Sans Adlam"/>
          <w:color w:val="000000" w:themeColor="text1"/>
          <w:sz w:val="22"/>
          <w:szCs w:val="22"/>
          <w:lang w:val="en-GB"/>
        </w:rPr>
        <w:t>5</w:t>
      </w:r>
      <w:proofErr w:type="gramEnd"/>
      <w:r w:rsidRPr="00CA20F8">
        <w:rPr>
          <w:rFonts w:ascii="Noto Sans Adlam" w:hAnsi="Noto Sans Adlam" w:cs="Noto Sans Adlam"/>
          <w:color w:val="000000" w:themeColor="text1"/>
          <w:sz w:val="22"/>
          <w:szCs w:val="22"/>
          <w:lang w:val="en-GB"/>
        </w:rPr>
        <w:t xml:space="preserve"> pages).</w:t>
      </w:r>
    </w:p>
    <w:p w14:paraId="6CA16A91" w14:textId="77777777" w:rsidR="00CA20F8" w:rsidRPr="00CA20F8" w:rsidRDefault="00CA20F8" w:rsidP="00CA20F8">
      <w:pPr>
        <w:pStyle w:val="Listeafsnit"/>
        <w:tabs>
          <w:tab w:val="left" w:pos="836"/>
          <w:tab w:val="left" w:pos="837"/>
        </w:tabs>
        <w:spacing w:line="276" w:lineRule="auto"/>
        <w:ind w:left="836" w:right="-53"/>
        <w:contextualSpacing w:val="0"/>
        <w:jc w:val="both"/>
        <w:rPr>
          <w:rFonts w:ascii="Noto Sans Adlam" w:hAnsi="Noto Sans Adlam" w:cs="Noto Sans Adlam"/>
          <w:color w:val="000000" w:themeColor="text1"/>
          <w:sz w:val="22"/>
          <w:szCs w:val="22"/>
          <w:lang w:val="en-GB"/>
        </w:rPr>
      </w:pPr>
    </w:p>
    <w:p w14:paraId="042FD3D3" w14:textId="02269A08" w:rsidR="004862AC" w:rsidRPr="004862AC" w:rsidRDefault="004862AC" w:rsidP="004862AC">
      <w:pPr>
        <w:shd w:val="clear" w:color="auto" w:fill="FFFFFF"/>
        <w:spacing w:after="300" w:line="240" w:lineRule="auto"/>
        <w:jc w:val="both"/>
        <w:rPr>
          <w:rFonts w:ascii="Noto Sans Adlam" w:hAnsi="Noto Sans Adlam" w:cs="Noto Sans Adlam"/>
          <w:color w:val="000000" w:themeColor="text1"/>
          <w:lang w:val="en-GB"/>
        </w:rPr>
      </w:pPr>
      <w:r w:rsidRPr="004862AC">
        <w:rPr>
          <w:rFonts w:ascii="Noto Sans Adlam" w:hAnsi="Noto Sans Adlam" w:cs="Noto Sans Adlam"/>
          <w:color w:val="000000" w:themeColor="text1"/>
        </w:rPr>
        <w:t>Language of the outputs and deliverables: English.</w:t>
      </w:r>
    </w:p>
    <w:p w14:paraId="643AF738" w14:textId="5615A096" w:rsidR="004862AC" w:rsidRPr="004862AC" w:rsidRDefault="004862AC" w:rsidP="0059626F">
      <w:pPr>
        <w:shd w:val="clear" w:color="auto" w:fill="FFFFFF"/>
        <w:spacing w:after="300" w:line="240" w:lineRule="auto"/>
        <w:jc w:val="both"/>
        <w:rPr>
          <w:rFonts w:ascii="Noto Sans Adlam" w:hAnsi="Noto Sans Adlam" w:cs="Noto Sans Adlam"/>
          <w:color w:val="000000" w:themeColor="text1"/>
        </w:rPr>
      </w:pPr>
      <w:r w:rsidRPr="004862AC">
        <w:rPr>
          <w:rFonts w:ascii="Noto Sans Adlam" w:hAnsi="Noto Sans Adlam" w:cs="Noto Sans Adlam"/>
          <w:color w:val="000000" w:themeColor="text1"/>
        </w:rPr>
        <w:t>The requested input is a total</w:t>
      </w:r>
      <w:r w:rsidRPr="004862AC">
        <w:rPr>
          <w:rFonts w:ascii="Noto Sans Adlam" w:hAnsi="Noto Sans Adlam" w:cs="Noto Sans Adlam"/>
          <w:color w:val="000000" w:themeColor="text1"/>
          <w:lang w:val="uk-UA"/>
        </w:rPr>
        <w:t xml:space="preserve"> 1</w:t>
      </w:r>
      <w:r w:rsidRPr="004862AC">
        <w:rPr>
          <w:rFonts w:ascii="Noto Sans Adlam" w:hAnsi="Noto Sans Adlam" w:cs="Noto Sans Adlam"/>
          <w:color w:val="000000" w:themeColor="text1"/>
        </w:rPr>
        <w:t>50 person-days over the 24-month period starting from</w:t>
      </w:r>
      <w:r w:rsidRPr="004862AC">
        <w:rPr>
          <w:rFonts w:ascii="Noto Sans Adlam" w:hAnsi="Noto Sans Adlam" w:cs="Noto Sans Adlam"/>
          <w:color w:val="000000" w:themeColor="text1"/>
          <w:lang w:val="uk-UA"/>
        </w:rPr>
        <w:t xml:space="preserve"> </w:t>
      </w:r>
      <w:r w:rsidR="00557787">
        <w:rPr>
          <w:rFonts w:ascii="Noto Sans Adlam" w:hAnsi="Noto Sans Adlam" w:cs="Noto Sans Adlam"/>
          <w:color w:val="000000" w:themeColor="text1"/>
        </w:rPr>
        <w:t>January 2021</w:t>
      </w:r>
      <w:r w:rsidRPr="004862AC">
        <w:rPr>
          <w:rFonts w:ascii="Noto Sans Adlam" w:hAnsi="Noto Sans Adlam" w:cs="Noto Sans Adlam"/>
          <w:color w:val="000000" w:themeColor="text1"/>
        </w:rPr>
        <w:t xml:space="preserve"> and ending in December 2022 (equivalent to min. 1200</w:t>
      </w:r>
      <w:r w:rsidRPr="004862AC">
        <w:rPr>
          <w:rFonts w:ascii="Noto Sans Adlam" w:hAnsi="Noto Sans Adlam" w:cs="Noto Sans Adlam"/>
          <w:color w:val="000000" w:themeColor="text1"/>
          <w:lang w:val="uk-UA"/>
        </w:rPr>
        <w:t xml:space="preserve"> </w:t>
      </w:r>
      <w:r w:rsidRPr="004862AC">
        <w:rPr>
          <w:rFonts w:ascii="Noto Sans Adlam" w:hAnsi="Noto Sans Adlam" w:cs="Noto Sans Adlam"/>
          <w:color w:val="000000" w:themeColor="text1"/>
        </w:rPr>
        <w:t>person-hours). The full budget for this assignment all included may not exceed 652 000 DKK (approximately</w:t>
      </w:r>
      <w:r w:rsidRPr="004862AC">
        <w:rPr>
          <w:rFonts w:ascii="Noto Sans Adlam" w:hAnsi="Noto Sans Adlam" w:cs="Noto Sans Adlam"/>
          <w:color w:val="000000" w:themeColor="text1"/>
          <w:lang w:val="uk-UA"/>
        </w:rPr>
        <w:t xml:space="preserve"> </w:t>
      </w:r>
      <w:r w:rsidRPr="004862AC">
        <w:rPr>
          <w:rFonts w:ascii="Noto Sans Adlam" w:hAnsi="Noto Sans Adlam" w:cs="Noto Sans Adlam"/>
          <w:color w:val="000000" w:themeColor="text1"/>
        </w:rPr>
        <w:t>87</w:t>
      </w:r>
      <w:r w:rsidRPr="004862AC">
        <w:rPr>
          <w:rFonts w:ascii="Noto Sans Adlam" w:hAnsi="Noto Sans Adlam" w:cs="Noto Sans Adlam"/>
          <w:color w:val="000000" w:themeColor="text1"/>
          <w:lang w:val="uk-UA"/>
        </w:rPr>
        <w:t xml:space="preserve"> </w:t>
      </w:r>
      <w:r w:rsidRPr="004862AC">
        <w:rPr>
          <w:rFonts w:ascii="Noto Sans Adlam" w:hAnsi="Noto Sans Adlam" w:cs="Noto Sans Adlam"/>
          <w:color w:val="000000" w:themeColor="text1"/>
        </w:rPr>
        <w:t>5</w:t>
      </w:r>
      <w:r w:rsidRPr="004862AC">
        <w:rPr>
          <w:rFonts w:ascii="Noto Sans Adlam" w:hAnsi="Noto Sans Adlam" w:cs="Noto Sans Adlam"/>
          <w:color w:val="000000" w:themeColor="text1"/>
          <w:lang w:val="uk-UA"/>
        </w:rPr>
        <w:t>00</w:t>
      </w:r>
      <w:r w:rsidRPr="004862AC">
        <w:rPr>
          <w:rFonts w:ascii="Noto Sans Adlam" w:hAnsi="Noto Sans Adlam" w:cs="Noto Sans Adlam"/>
          <w:color w:val="000000" w:themeColor="text1"/>
        </w:rPr>
        <w:t xml:space="preserve"> EUR).</w:t>
      </w:r>
    </w:p>
    <w:p w14:paraId="22EBDB17" w14:textId="7FBF7B17" w:rsidR="00ED0EF4" w:rsidRPr="004862AC" w:rsidRDefault="00ED0EF4" w:rsidP="00ED0EF4">
      <w:pPr>
        <w:shd w:val="clear" w:color="auto" w:fill="FFFFFF"/>
        <w:spacing w:after="300" w:line="240" w:lineRule="auto"/>
        <w:rPr>
          <w:rFonts w:ascii="Noto Sans Adlam" w:eastAsia="Times New Roman" w:hAnsi="Noto Sans Adlam" w:cs="Noto Sans Adlam"/>
          <w:color w:val="3B3B3B"/>
        </w:rPr>
      </w:pPr>
      <w:r w:rsidRPr="004862AC">
        <w:rPr>
          <w:rFonts w:ascii="Noto Sans Adlam" w:eastAsia="Times New Roman" w:hAnsi="Noto Sans Adlam" w:cs="Noto Sans Adlam"/>
          <w:b/>
          <w:bCs/>
          <w:color w:val="3B3B3B"/>
        </w:rPr>
        <w:t>Deadline for applications:</w:t>
      </w:r>
      <w:r w:rsidRPr="004862AC">
        <w:rPr>
          <w:rFonts w:ascii="Noto Sans Adlam" w:eastAsia="Times New Roman" w:hAnsi="Noto Sans Adlam" w:cs="Noto Sans Adlam"/>
          <w:color w:val="3B3B3B"/>
        </w:rPr>
        <w:t> </w:t>
      </w:r>
      <w:r w:rsidR="00557787">
        <w:rPr>
          <w:rFonts w:ascii="Noto Sans Adlam" w:eastAsia="Times New Roman" w:hAnsi="Noto Sans Adlam" w:cs="Noto Sans Adlam"/>
          <w:color w:val="3B3B3B"/>
        </w:rPr>
        <w:t>7</w:t>
      </w:r>
      <w:r w:rsidRPr="004862AC">
        <w:rPr>
          <w:rFonts w:ascii="Noto Sans Adlam" w:eastAsia="Times New Roman" w:hAnsi="Noto Sans Adlam" w:cs="Noto Sans Adlam"/>
          <w:color w:val="3B3B3B"/>
        </w:rPr>
        <w:t xml:space="preserve"> </w:t>
      </w:r>
      <w:r w:rsidR="004862AC" w:rsidRPr="004862AC">
        <w:rPr>
          <w:rFonts w:ascii="Noto Sans Adlam" w:eastAsia="Times New Roman" w:hAnsi="Noto Sans Adlam" w:cs="Noto Sans Adlam"/>
          <w:color w:val="3B3B3B"/>
        </w:rPr>
        <w:t>December</w:t>
      </w:r>
      <w:r w:rsidRPr="004862AC">
        <w:rPr>
          <w:rFonts w:ascii="Noto Sans Adlam" w:eastAsia="Times New Roman" w:hAnsi="Noto Sans Adlam" w:cs="Noto Sans Adlam"/>
          <w:color w:val="3B3B3B"/>
        </w:rPr>
        <w:t xml:space="preserve"> 2020, at 1</w:t>
      </w:r>
      <w:r w:rsidR="00557787">
        <w:rPr>
          <w:rFonts w:ascii="Noto Sans Adlam" w:eastAsia="Times New Roman" w:hAnsi="Noto Sans Adlam" w:cs="Noto Sans Adlam"/>
          <w:color w:val="3B3B3B"/>
        </w:rPr>
        <w:t>8</w:t>
      </w:r>
      <w:r w:rsidRPr="004862AC">
        <w:rPr>
          <w:rFonts w:ascii="Noto Sans Adlam" w:eastAsia="Times New Roman" w:hAnsi="Noto Sans Adlam" w:cs="Noto Sans Adlam"/>
          <w:color w:val="3B3B3B"/>
        </w:rPr>
        <w:t>:00, Danish time</w:t>
      </w:r>
    </w:p>
    <w:p w14:paraId="4D40BA73" w14:textId="77777777" w:rsidR="00ED0EF4" w:rsidRPr="004862AC" w:rsidRDefault="00ED0EF4" w:rsidP="00ED0EF4">
      <w:pPr>
        <w:shd w:val="clear" w:color="auto" w:fill="FFFFFF"/>
        <w:spacing w:after="300" w:line="240" w:lineRule="auto"/>
        <w:rPr>
          <w:rFonts w:ascii="Noto Sans Adlam" w:eastAsia="Times New Roman" w:hAnsi="Noto Sans Adlam" w:cs="Noto Sans Adlam"/>
          <w:color w:val="3B3B3B"/>
        </w:rPr>
      </w:pPr>
      <w:r w:rsidRPr="004862AC">
        <w:rPr>
          <w:rFonts w:ascii="Noto Sans Adlam" w:eastAsia="Times New Roman" w:hAnsi="Noto Sans Adlam" w:cs="Noto Sans Adlam"/>
          <w:color w:val="3B3B3B"/>
        </w:rPr>
        <w:t>Interested Consultants can request the documents for participation by email to the contact person stated below.</w:t>
      </w:r>
    </w:p>
    <w:p w14:paraId="2F19C345" w14:textId="68EEBC72" w:rsidR="0090322C" w:rsidRPr="004862AC" w:rsidRDefault="00ED0EF4" w:rsidP="0090322C">
      <w:pPr>
        <w:shd w:val="clear" w:color="auto" w:fill="FFFFFF"/>
        <w:spacing w:after="300" w:line="240" w:lineRule="auto"/>
        <w:rPr>
          <w:rFonts w:ascii="Noto Sans Adlam" w:eastAsia="Times New Roman" w:hAnsi="Noto Sans Adlam" w:cs="Noto Sans Adlam"/>
          <w:color w:val="9B0D2B"/>
          <w:u w:val="single"/>
        </w:rPr>
      </w:pPr>
      <w:r w:rsidRPr="004862AC">
        <w:rPr>
          <w:rFonts w:ascii="Noto Sans Adlam" w:eastAsia="Times New Roman" w:hAnsi="Noto Sans Adlam" w:cs="Noto Sans Adlam"/>
          <w:b/>
          <w:bCs/>
          <w:color w:val="3B3B3B"/>
        </w:rPr>
        <w:t>Contact point:</w:t>
      </w:r>
      <w:r w:rsidRPr="004862AC">
        <w:rPr>
          <w:rFonts w:ascii="Noto Sans Adlam" w:eastAsia="Times New Roman" w:hAnsi="Noto Sans Adlam" w:cs="Noto Sans Adlam"/>
          <w:color w:val="3B3B3B"/>
        </w:rPr>
        <w:t>      </w:t>
      </w:r>
      <w:r w:rsidRPr="004862AC">
        <w:rPr>
          <w:rFonts w:ascii="Noto Sans Adlam" w:eastAsia="Times New Roman" w:hAnsi="Noto Sans Adlam" w:cs="Noto Sans Adlam"/>
          <w:color w:val="3B3B3B"/>
        </w:rPr>
        <w:br/>
        <w:t xml:space="preserve">Name of </w:t>
      </w:r>
      <w:proofErr w:type="spellStart"/>
      <w:r w:rsidRPr="004862AC">
        <w:rPr>
          <w:rFonts w:ascii="Noto Sans Adlam" w:eastAsia="Times New Roman" w:hAnsi="Noto Sans Adlam" w:cs="Noto Sans Adlam"/>
          <w:color w:val="3B3B3B"/>
        </w:rPr>
        <w:t>Programme</w:t>
      </w:r>
      <w:proofErr w:type="spellEnd"/>
      <w:r w:rsidRPr="004862AC">
        <w:rPr>
          <w:rFonts w:ascii="Noto Sans Adlam" w:eastAsia="Times New Roman" w:hAnsi="Noto Sans Adlam" w:cs="Noto Sans Adlam"/>
          <w:color w:val="3B3B3B"/>
        </w:rPr>
        <w:t xml:space="preserve"> Officer: </w:t>
      </w:r>
      <w:r w:rsidR="004862AC" w:rsidRPr="004862AC">
        <w:rPr>
          <w:rFonts w:ascii="Noto Sans Adlam" w:eastAsia="Times New Roman" w:hAnsi="Noto Sans Adlam" w:cs="Noto Sans Adlam"/>
          <w:color w:val="3B3B3B"/>
        </w:rPr>
        <w:t>Victor Kylymar</w:t>
      </w:r>
      <w:r w:rsidRPr="004862AC">
        <w:rPr>
          <w:rFonts w:ascii="Noto Sans Adlam" w:eastAsia="Times New Roman" w:hAnsi="Noto Sans Adlam" w:cs="Noto Sans Adlam"/>
          <w:color w:val="3B3B3B"/>
        </w:rPr>
        <w:br/>
        <w:t xml:space="preserve">E-mail address, </w:t>
      </w:r>
      <w:proofErr w:type="spellStart"/>
      <w:r w:rsidRPr="004862AC">
        <w:rPr>
          <w:rFonts w:ascii="Noto Sans Adlam" w:eastAsia="Times New Roman" w:hAnsi="Noto Sans Adlam" w:cs="Noto Sans Adlam"/>
          <w:color w:val="3B3B3B"/>
        </w:rPr>
        <w:t>Programme</w:t>
      </w:r>
      <w:proofErr w:type="spellEnd"/>
      <w:r w:rsidRPr="004862AC">
        <w:rPr>
          <w:rFonts w:ascii="Noto Sans Adlam" w:eastAsia="Times New Roman" w:hAnsi="Noto Sans Adlam" w:cs="Noto Sans Adlam"/>
          <w:color w:val="3B3B3B"/>
        </w:rPr>
        <w:t xml:space="preserve"> Officer: </w:t>
      </w:r>
      <w:hyperlink r:id="rId5" w:history="1">
        <w:r w:rsidR="004862AC" w:rsidRPr="004862AC">
          <w:rPr>
            <w:rStyle w:val="Hyperlink"/>
            <w:rFonts w:ascii="Noto Sans Adlam" w:eastAsia="Times New Roman" w:hAnsi="Noto Sans Adlam" w:cs="Noto Sans Adlam"/>
          </w:rPr>
          <w:t>v.kylymar@ukraine-aci.com</w:t>
        </w:r>
      </w:hyperlink>
      <w:r w:rsidRPr="004862AC">
        <w:rPr>
          <w:rFonts w:ascii="Noto Sans Adlam" w:eastAsia="Times New Roman" w:hAnsi="Noto Sans Adlam" w:cs="Noto Sans Adlam"/>
          <w:color w:val="3B3B3B"/>
        </w:rPr>
        <w:br/>
      </w:r>
      <w:r w:rsidR="00C5543B" w:rsidRPr="004862AC">
        <w:rPr>
          <w:rFonts w:ascii="Noto Sans Adlam" w:eastAsia="Times New Roman" w:hAnsi="Noto Sans Adlam" w:cs="Noto Sans Adlam"/>
          <w:color w:val="3B3B3B"/>
        </w:rPr>
        <w:t xml:space="preserve">Telephone of </w:t>
      </w:r>
      <w:proofErr w:type="spellStart"/>
      <w:r w:rsidR="00C5543B" w:rsidRPr="004862AC">
        <w:rPr>
          <w:rFonts w:ascii="Noto Sans Adlam" w:eastAsia="Times New Roman" w:hAnsi="Noto Sans Adlam" w:cs="Noto Sans Adlam"/>
          <w:color w:val="3B3B3B"/>
        </w:rPr>
        <w:t>Programme</w:t>
      </w:r>
      <w:proofErr w:type="spellEnd"/>
      <w:r w:rsidR="00C5543B" w:rsidRPr="004862AC">
        <w:rPr>
          <w:rFonts w:ascii="Noto Sans Adlam" w:eastAsia="Times New Roman" w:hAnsi="Noto Sans Adlam" w:cs="Noto Sans Adlam"/>
          <w:color w:val="3B3B3B"/>
        </w:rPr>
        <w:t xml:space="preserve"> Officer: +380 </w:t>
      </w:r>
      <w:r w:rsidR="004862AC" w:rsidRPr="004862AC">
        <w:rPr>
          <w:rFonts w:ascii="Noto Sans Adlam" w:eastAsia="Times New Roman" w:hAnsi="Noto Sans Adlam" w:cs="Noto Sans Adlam"/>
          <w:color w:val="3B3B3B"/>
        </w:rPr>
        <w:t>97 173 96 96</w:t>
      </w:r>
    </w:p>
    <w:p w14:paraId="237A7F77" w14:textId="4F1D547E" w:rsidR="00F40EAD" w:rsidRPr="00557787" w:rsidRDefault="00ED0EF4" w:rsidP="00557787">
      <w:pPr>
        <w:shd w:val="clear" w:color="auto" w:fill="FFFFFF"/>
        <w:spacing w:line="240" w:lineRule="auto"/>
        <w:rPr>
          <w:rFonts w:ascii="Noto Sans Adlam" w:eastAsia="Times New Roman" w:hAnsi="Noto Sans Adlam" w:cs="Noto Sans Adlam"/>
          <w:color w:val="3B3B3B"/>
        </w:rPr>
      </w:pPr>
      <w:r w:rsidRPr="004862AC">
        <w:rPr>
          <w:rFonts w:ascii="Noto Sans Adlam" w:eastAsia="Times New Roman" w:hAnsi="Noto Sans Adlam" w:cs="Noto Sans Adlam"/>
          <w:b/>
          <w:bCs/>
          <w:color w:val="3B3B3B"/>
        </w:rPr>
        <w:t>Criteria for selection</w:t>
      </w:r>
      <w:proofErr w:type="gramStart"/>
      <w:r w:rsidRPr="004862AC">
        <w:rPr>
          <w:rFonts w:ascii="Noto Sans Adlam" w:eastAsia="Times New Roman" w:hAnsi="Noto Sans Adlam" w:cs="Noto Sans Adlam"/>
          <w:b/>
          <w:bCs/>
          <w:color w:val="3B3B3B"/>
        </w:rPr>
        <w:t>:</w:t>
      </w:r>
      <w:proofErr w:type="gramEnd"/>
      <w:r w:rsidRPr="004862AC">
        <w:rPr>
          <w:rFonts w:ascii="Noto Sans Adlam" w:eastAsia="Times New Roman" w:hAnsi="Noto Sans Adlam" w:cs="Noto Sans Adlam"/>
          <w:color w:val="3B3B3B"/>
        </w:rPr>
        <w:br/>
      </w:r>
      <w:r w:rsidR="00533BA8">
        <w:rPr>
          <w:rFonts w:ascii="Calibri" w:eastAsia="Times New Roman" w:hAnsi="Calibri" w:cs="Calibri"/>
          <w:color w:val="3B3B3B"/>
        </w:rPr>
        <w:t>T</w:t>
      </w:r>
      <w:r w:rsidRPr="004862AC">
        <w:rPr>
          <w:rFonts w:ascii="Noto Sans Adlam" w:eastAsia="Times New Roman" w:hAnsi="Noto Sans Adlam" w:cs="Noto Sans Adlam"/>
          <w:color w:val="3B3B3B"/>
        </w:rPr>
        <w:t>hree applicants with references best suited for this assignment will be invited to submit a tender</w:t>
      </w:r>
      <w:r w:rsidR="00EF303D" w:rsidRPr="004862AC">
        <w:rPr>
          <w:rFonts w:ascii="Noto Sans Adlam" w:eastAsia="Times New Roman" w:hAnsi="Noto Sans Adlam" w:cs="Noto Sans Adlam"/>
          <w:color w:val="3B3B3B"/>
        </w:rPr>
        <w:t xml:space="preserve">. </w:t>
      </w:r>
    </w:p>
    <w:sectPr w:rsidR="00F40EAD" w:rsidRPr="005577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tionalbank">
    <w:altName w:val="Arial"/>
    <w:charset w:val="00"/>
    <w:family w:val="swiss"/>
    <w:pitch w:val="variable"/>
    <w:sig w:usb0="A00000AF" w:usb1="5000204A" w:usb2="00000000" w:usb3="00000000" w:csb0="00000111" w:csb1="00000000"/>
  </w:font>
  <w:font w:name="Verdana">
    <w:panose1 w:val="020B0604030504040204"/>
    <w:charset w:val="00"/>
    <w:family w:val="swiss"/>
    <w:pitch w:val="variable"/>
    <w:sig w:usb0="A00006FF" w:usb1="4000205B" w:usb2="00000010" w:usb3="00000000" w:csb0="0000019F" w:csb1="00000000"/>
  </w:font>
  <w:font w:name="Noto Sans Adlam">
    <w:altName w:val="Gadugi"/>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733C2"/>
    <w:multiLevelType w:val="hybridMultilevel"/>
    <w:tmpl w:val="A7E23010"/>
    <w:lvl w:ilvl="0" w:tplc="1EB08C50">
      <w:numFmt w:val="bullet"/>
      <w:lvlText w:val=""/>
      <w:lvlJc w:val="left"/>
      <w:pPr>
        <w:ind w:left="836" w:hanging="360"/>
      </w:pPr>
      <w:rPr>
        <w:rFonts w:ascii="Symbol" w:eastAsia="Symbol" w:hAnsi="Symbol" w:cs="Symbol" w:hint="default"/>
        <w:w w:val="100"/>
        <w:sz w:val="22"/>
        <w:szCs w:val="22"/>
        <w:lang w:val="en-US" w:eastAsia="en-US" w:bidi="en-US"/>
      </w:rPr>
    </w:lvl>
    <w:lvl w:ilvl="1" w:tplc="6018FEE8">
      <w:numFmt w:val="bullet"/>
      <w:lvlText w:val="o"/>
      <w:lvlJc w:val="left"/>
      <w:pPr>
        <w:ind w:left="1556" w:hanging="360"/>
      </w:pPr>
      <w:rPr>
        <w:rFonts w:ascii="Courier New" w:eastAsia="Courier New" w:hAnsi="Courier New" w:cs="Courier New" w:hint="default"/>
        <w:w w:val="100"/>
        <w:sz w:val="22"/>
        <w:szCs w:val="22"/>
        <w:lang w:val="en-US" w:eastAsia="en-US" w:bidi="en-US"/>
      </w:rPr>
    </w:lvl>
    <w:lvl w:ilvl="2" w:tplc="A800A5F6">
      <w:numFmt w:val="bullet"/>
      <w:lvlText w:val="•"/>
      <w:lvlJc w:val="left"/>
      <w:pPr>
        <w:ind w:left="2482" w:hanging="360"/>
      </w:pPr>
      <w:rPr>
        <w:rFonts w:hint="default"/>
        <w:lang w:val="en-US" w:eastAsia="en-US" w:bidi="en-US"/>
      </w:rPr>
    </w:lvl>
    <w:lvl w:ilvl="3" w:tplc="6652DCE4">
      <w:numFmt w:val="bullet"/>
      <w:lvlText w:val="•"/>
      <w:lvlJc w:val="left"/>
      <w:pPr>
        <w:ind w:left="3405" w:hanging="360"/>
      </w:pPr>
      <w:rPr>
        <w:rFonts w:hint="default"/>
        <w:lang w:val="en-US" w:eastAsia="en-US" w:bidi="en-US"/>
      </w:rPr>
    </w:lvl>
    <w:lvl w:ilvl="4" w:tplc="B5FAA650">
      <w:numFmt w:val="bullet"/>
      <w:lvlText w:val="•"/>
      <w:lvlJc w:val="left"/>
      <w:pPr>
        <w:ind w:left="4328" w:hanging="360"/>
      </w:pPr>
      <w:rPr>
        <w:rFonts w:hint="default"/>
        <w:lang w:val="en-US" w:eastAsia="en-US" w:bidi="en-US"/>
      </w:rPr>
    </w:lvl>
    <w:lvl w:ilvl="5" w:tplc="CCD224AA">
      <w:numFmt w:val="bullet"/>
      <w:lvlText w:val="•"/>
      <w:lvlJc w:val="left"/>
      <w:pPr>
        <w:ind w:left="5251" w:hanging="360"/>
      </w:pPr>
      <w:rPr>
        <w:rFonts w:hint="default"/>
        <w:lang w:val="en-US" w:eastAsia="en-US" w:bidi="en-US"/>
      </w:rPr>
    </w:lvl>
    <w:lvl w:ilvl="6" w:tplc="D0C6F42A">
      <w:numFmt w:val="bullet"/>
      <w:lvlText w:val="•"/>
      <w:lvlJc w:val="left"/>
      <w:pPr>
        <w:ind w:left="6174" w:hanging="360"/>
      </w:pPr>
      <w:rPr>
        <w:rFonts w:hint="default"/>
        <w:lang w:val="en-US" w:eastAsia="en-US" w:bidi="en-US"/>
      </w:rPr>
    </w:lvl>
    <w:lvl w:ilvl="7" w:tplc="97AC2ED6">
      <w:numFmt w:val="bullet"/>
      <w:lvlText w:val="•"/>
      <w:lvlJc w:val="left"/>
      <w:pPr>
        <w:ind w:left="7097" w:hanging="360"/>
      </w:pPr>
      <w:rPr>
        <w:rFonts w:hint="default"/>
        <w:lang w:val="en-US" w:eastAsia="en-US" w:bidi="en-US"/>
      </w:rPr>
    </w:lvl>
    <w:lvl w:ilvl="8" w:tplc="25242434">
      <w:numFmt w:val="bullet"/>
      <w:lvlText w:val="•"/>
      <w:lvlJc w:val="left"/>
      <w:pPr>
        <w:ind w:left="8020"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NTc0MLY0NTc1MzVX0lEKTi0uzszPAykwrgUAK1vSZywAAAA="/>
  </w:docVars>
  <w:rsids>
    <w:rsidRoot w:val="00ED0EF4"/>
    <w:rsid w:val="000630B8"/>
    <w:rsid w:val="00075B75"/>
    <w:rsid w:val="000E55A1"/>
    <w:rsid w:val="002305DB"/>
    <w:rsid w:val="00347D41"/>
    <w:rsid w:val="004641D5"/>
    <w:rsid w:val="00477D5C"/>
    <w:rsid w:val="004862AC"/>
    <w:rsid w:val="00514B5F"/>
    <w:rsid w:val="0052482D"/>
    <w:rsid w:val="00533BA8"/>
    <w:rsid w:val="00557787"/>
    <w:rsid w:val="0059626F"/>
    <w:rsid w:val="006071DD"/>
    <w:rsid w:val="006F1934"/>
    <w:rsid w:val="007A08FE"/>
    <w:rsid w:val="007F4345"/>
    <w:rsid w:val="0086028E"/>
    <w:rsid w:val="0090322C"/>
    <w:rsid w:val="0095639D"/>
    <w:rsid w:val="00A71395"/>
    <w:rsid w:val="00B06A49"/>
    <w:rsid w:val="00B36A6F"/>
    <w:rsid w:val="00BE53F0"/>
    <w:rsid w:val="00C550EE"/>
    <w:rsid w:val="00C5543B"/>
    <w:rsid w:val="00CA20F8"/>
    <w:rsid w:val="00D64C25"/>
    <w:rsid w:val="00DF5424"/>
    <w:rsid w:val="00EB4E24"/>
    <w:rsid w:val="00ED0EF4"/>
    <w:rsid w:val="00EF303D"/>
    <w:rsid w:val="00F37C53"/>
    <w:rsid w:val="00F8490F"/>
    <w:rsid w:val="00FC5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1AAED"/>
  <w15:chartTrackingRefBased/>
  <w15:docId w15:val="{7FFB44D7-3FD7-42C1-A3B0-E429F418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ED0E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semiHidden/>
    <w:unhideWhenUsed/>
    <w:qFormat/>
    <w:rsid w:val="004862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D0EF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D0EF4"/>
    <w:pPr>
      <w:spacing w:before="100" w:beforeAutospacing="1" w:after="100" w:afterAutospacing="1" w:line="240" w:lineRule="auto"/>
    </w:pPr>
    <w:rPr>
      <w:rFonts w:ascii="Times New Roman" w:eastAsia="Times New Roman" w:hAnsi="Times New Roman" w:cs="Times New Roman"/>
      <w:sz w:val="24"/>
      <w:szCs w:val="24"/>
    </w:rPr>
  </w:style>
  <w:style w:type="character" w:styleId="Strk">
    <w:name w:val="Strong"/>
    <w:basedOn w:val="Standardskrifttypeiafsnit"/>
    <w:uiPriority w:val="22"/>
    <w:qFormat/>
    <w:rsid w:val="00ED0EF4"/>
    <w:rPr>
      <w:b/>
      <w:bCs/>
    </w:rPr>
  </w:style>
  <w:style w:type="character" w:styleId="Hyperlink">
    <w:name w:val="Hyperlink"/>
    <w:basedOn w:val="Standardskrifttypeiafsnit"/>
    <w:uiPriority w:val="99"/>
    <w:unhideWhenUsed/>
    <w:rsid w:val="00ED0EF4"/>
    <w:rPr>
      <w:color w:val="0000FF"/>
      <w:u w:val="single"/>
    </w:rPr>
  </w:style>
  <w:style w:type="paragraph" w:styleId="Markeringsbobletekst">
    <w:name w:val="Balloon Text"/>
    <w:basedOn w:val="Normal"/>
    <w:link w:val="MarkeringsbobletekstTegn"/>
    <w:uiPriority w:val="99"/>
    <w:semiHidden/>
    <w:unhideWhenUsed/>
    <w:rsid w:val="0059626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9626F"/>
    <w:rPr>
      <w:rFonts w:ascii="Segoe UI" w:hAnsi="Segoe UI" w:cs="Segoe UI"/>
      <w:sz w:val="18"/>
      <w:szCs w:val="18"/>
    </w:rPr>
  </w:style>
  <w:style w:type="character" w:customStyle="1" w:styleId="Overskrift2Tegn">
    <w:name w:val="Overskrift 2 Tegn"/>
    <w:basedOn w:val="Standardskrifttypeiafsnit"/>
    <w:link w:val="Overskrift2"/>
    <w:uiPriority w:val="9"/>
    <w:semiHidden/>
    <w:rsid w:val="004862AC"/>
    <w:rPr>
      <w:rFonts w:asciiTheme="majorHAnsi" w:eastAsiaTheme="majorEastAsia" w:hAnsiTheme="majorHAnsi" w:cstheme="majorBidi"/>
      <w:color w:val="2F5496" w:themeColor="accent1" w:themeShade="BF"/>
      <w:sz w:val="26"/>
      <w:szCs w:val="26"/>
    </w:rPr>
  </w:style>
  <w:style w:type="paragraph" w:styleId="Listeafsnit">
    <w:name w:val="List Paragraph"/>
    <w:aliases w:val="List Paragraph (numbered (a)),Lapis Bulleted List,Indent Paragraph"/>
    <w:basedOn w:val="Normal"/>
    <w:link w:val="ListeafsnitTegn"/>
    <w:uiPriority w:val="34"/>
    <w:qFormat/>
    <w:rsid w:val="004862AC"/>
    <w:pPr>
      <w:spacing w:after="0" w:line="300" w:lineRule="atLeast"/>
      <w:ind w:left="720"/>
      <w:contextualSpacing/>
    </w:pPr>
    <w:rPr>
      <w:rFonts w:ascii="Nationalbank" w:eastAsia="Times New Roman" w:hAnsi="Nationalbank" w:cs="Times New Roman"/>
      <w:sz w:val="20"/>
      <w:szCs w:val="20"/>
      <w:lang w:val="da-DK" w:eastAsia="da-DK"/>
    </w:rPr>
  </w:style>
  <w:style w:type="paragraph" w:styleId="Brdtekst">
    <w:name w:val="Body Text"/>
    <w:basedOn w:val="Normal"/>
    <w:link w:val="BrdtekstTegn"/>
    <w:uiPriority w:val="1"/>
    <w:qFormat/>
    <w:rsid w:val="004862AC"/>
    <w:pPr>
      <w:widowControl w:val="0"/>
      <w:autoSpaceDE w:val="0"/>
      <w:autoSpaceDN w:val="0"/>
      <w:spacing w:after="0" w:line="240" w:lineRule="auto"/>
    </w:pPr>
    <w:rPr>
      <w:rFonts w:ascii="Verdana" w:eastAsia="Verdana" w:hAnsi="Verdana" w:cs="Verdana"/>
      <w:lang w:bidi="en-US"/>
    </w:rPr>
  </w:style>
  <w:style w:type="character" w:customStyle="1" w:styleId="BrdtekstTegn">
    <w:name w:val="Brødtekst Tegn"/>
    <w:basedOn w:val="Standardskrifttypeiafsnit"/>
    <w:link w:val="Brdtekst"/>
    <w:uiPriority w:val="1"/>
    <w:rsid w:val="004862AC"/>
    <w:rPr>
      <w:rFonts w:ascii="Verdana" w:eastAsia="Verdana" w:hAnsi="Verdana" w:cs="Verdana"/>
      <w:lang w:bidi="en-US"/>
    </w:rPr>
  </w:style>
  <w:style w:type="character" w:customStyle="1" w:styleId="a">
    <w:name w:val="Нет"/>
    <w:rsid w:val="004862AC"/>
  </w:style>
  <w:style w:type="character" w:customStyle="1" w:styleId="ListeafsnitTegn">
    <w:name w:val="Listeafsnit Tegn"/>
    <w:aliases w:val="List Paragraph (numbered (a)) Tegn,Lapis Bulleted List Tegn,Indent Paragraph Tegn"/>
    <w:basedOn w:val="Standardskrifttypeiafsnit"/>
    <w:link w:val="Listeafsnit"/>
    <w:uiPriority w:val="34"/>
    <w:rsid w:val="004862AC"/>
    <w:rPr>
      <w:rFonts w:ascii="Nationalbank" w:eastAsia="Times New Roman" w:hAnsi="Nationalbank" w:cs="Times New Roman"/>
      <w:sz w:val="20"/>
      <w:szCs w:val="20"/>
      <w:lang w:val="da-DK" w:eastAsia="da-DK"/>
    </w:rPr>
  </w:style>
  <w:style w:type="character" w:customStyle="1" w:styleId="UnresolvedMention">
    <w:name w:val="Unresolved Mention"/>
    <w:basedOn w:val="Standardskrifttypeiafsnit"/>
    <w:uiPriority w:val="99"/>
    <w:semiHidden/>
    <w:unhideWhenUsed/>
    <w:rsid w:val="00486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165324">
      <w:bodyDiv w:val="1"/>
      <w:marLeft w:val="0"/>
      <w:marRight w:val="0"/>
      <w:marTop w:val="0"/>
      <w:marBottom w:val="0"/>
      <w:divBdr>
        <w:top w:val="none" w:sz="0" w:space="0" w:color="auto"/>
        <w:left w:val="none" w:sz="0" w:space="0" w:color="auto"/>
        <w:bottom w:val="none" w:sz="0" w:space="0" w:color="auto"/>
        <w:right w:val="none" w:sz="0" w:space="0" w:color="auto"/>
      </w:divBdr>
      <w:divsChild>
        <w:div w:id="406995466">
          <w:marLeft w:val="0"/>
          <w:marRight w:val="0"/>
          <w:marTop w:val="0"/>
          <w:marBottom w:val="0"/>
          <w:divBdr>
            <w:top w:val="none" w:sz="0" w:space="0" w:color="auto"/>
            <w:left w:val="none" w:sz="0" w:space="0" w:color="auto"/>
            <w:bottom w:val="none" w:sz="0" w:space="0" w:color="auto"/>
            <w:right w:val="none" w:sz="0" w:space="0" w:color="auto"/>
          </w:divBdr>
        </w:div>
        <w:div w:id="234364035">
          <w:marLeft w:val="0"/>
          <w:marRight w:val="0"/>
          <w:marTop w:val="0"/>
          <w:marBottom w:val="0"/>
          <w:divBdr>
            <w:top w:val="none" w:sz="0" w:space="0" w:color="auto"/>
            <w:left w:val="none" w:sz="0" w:space="0" w:color="auto"/>
            <w:bottom w:val="none" w:sz="0" w:space="0" w:color="auto"/>
            <w:right w:val="none" w:sz="0" w:space="0" w:color="auto"/>
          </w:divBdr>
          <w:divsChild>
            <w:div w:id="111751445">
              <w:marLeft w:val="0"/>
              <w:marRight w:val="0"/>
              <w:marTop w:val="0"/>
              <w:marBottom w:val="450"/>
              <w:divBdr>
                <w:top w:val="none" w:sz="0" w:space="0" w:color="auto"/>
                <w:left w:val="none" w:sz="0" w:space="0" w:color="auto"/>
                <w:bottom w:val="none" w:sz="0" w:space="0" w:color="auto"/>
                <w:right w:val="none" w:sz="0" w:space="0" w:color="auto"/>
              </w:divBdr>
            </w:div>
          </w:divsChild>
        </w:div>
        <w:div w:id="1287663815">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kylymar@ukraine-ac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476</Words>
  <Characters>2905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Halyna Kokhan</dc:creator>
  <cp:keywords/>
  <dc:description/>
  <cp:lastModifiedBy>Allan Emil Heldbjerg</cp:lastModifiedBy>
  <cp:revision>5</cp:revision>
  <dcterms:created xsi:type="dcterms:W3CDTF">2020-11-19T18:02:00Z</dcterms:created>
  <dcterms:modified xsi:type="dcterms:W3CDTF">2020-11-20T15:45:00Z</dcterms:modified>
</cp:coreProperties>
</file>